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43173" w14:textId="77777777" w:rsidR="001D69C5" w:rsidRDefault="001D69C5">
      <w:pPr>
        <w:pStyle w:val="BodyText"/>
        <w:rPr>
          <w:rFonts w:ascii="Times New Roman"/>
          <w:sz w:val="20"/>
        </w:rPr>
      </w:pPr>
    </w:p>
    <w:p w14:paraId="7719CB3C" w14:textId="77777777" w:rsidR="001D69C5" w:rsidRDefault="001D69C5">
      <w:pPr>
        <w:pStyle w:val="BodyText"/>
        <w:rPr>
          <w:rFonts w:ascii="Times New Roman"/>
          <w:sz w:val="20"/>
        </w:rPr>
      </w:pPr>
    </w:p>
    <w:p w14:paraId="3396C16C" w14:textId="77777777" w:rsidR="001D69C5" w:rsidRDefault="001D69C5">
      <w:pPr>
        <w:pStyle w:val="BodyText"/>
        <w:rPr>
          <w:rFonts w:ascii="Times New Roman"/>
          <w:sz w:val="20"/>
        </w:rPr>
      </w:pPr>
    </w:p>
    <w:p w14:paraId="39871331" w14:textId="32AF4FC4" w:rsidR="001D69C5" w:rsidRDefault="00426C39">
      <w:pPr>
        <w:spacing w:before="251"/>
        <w:ind w:left="4602"/>
        <w:rPr>
          <w:b/>
          <w:sz w:val="28"/>
        </w:rPr>
      </w:pPr>
      <w:r>
        <w:rPr>
          <w:b/>
          <w:noProof/>
          <w:sz w:val="28"/>
          <w:szCs w:val="28"/>
        </w:rPr>
        <w:drawing>
          <wp:anchor distT="0" distB="0" distL="114300" distR="114300" simplePos="0" relativeHeight="251660288" behindDoc="1" locked="0" layoutInCell="1" allowOverlap="1" wp14:anchorId="6FB043AD" wp14:editId="58212BEC">
            <wp:simplePos x="0" y="0"/>
            <wp:positionH relativeFrom="column">
              <wp:posOffset>63500</wp:posOffset>
            </wp:positionH>
            <wp:positionV relativeFrom="page">
              <wp:posOffset>387350</wp:posOffset>
            </wp:positionV>
            <wp:extent cx="1440485" cy="1212850"/>
            <wp:effectExtent l="0" t="0" r="762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1452490" cy="1222958"/>
                    </a:xfrm>
                    <a:prstGeom prst="rect">
                      <a:avLst/>
                    </a:prstGeom>
                  </pic:spPr>
                </pic:pic>
              </a:graphicData>
            </a:graphic>
            <wp14:sizeRelH relativeFrom="margin">
              <wp14:pctWidth>0</wp14:pctWidth>
            </wp14:sizeRelH>
            <wp14:sizeRelV relativeFrom="margin">
              <wp14:pctHeight>0</wp14:pctHeight>
            </wp14:sizeRelV>
          </wp:anchor>
        </w:drawing>
      </w:r>
      <w:r w:rsidR="002222D4">
        <w:rPr>
          <w:b/>
          <w:sz w:val="28"/>
        </w:rPr>
        <w:t>Community Sponsorship Guidelines</w:t>
      </w:r>
    </w:p>
    <w:p w14:paraId="0DF8192B" w14:textId="77777777" w:rsidR="001D69C5" w:rsidRPr="0038681A" w:rsidRDefault="001D69C5">
      <w:pPr>
        <w:pStyle w:val="BodyText"/>
        <w:rPr>
          <w:bCs/>
          <w:sz w:val="20"/>
          <w:szCs w:val="20"/>
        </w:rPr>
      </w:pPr>
    </w:p>
    <w:p w14:paraId="01EA3C59" w14:textId="77777777" w:rsidR="001D69C5" w:rsidRPr="0038681A" w:rsidRDefault="001D69C5">
      <w:pPr>
        <w:pStyle w:val="BodyText"/>
        <w:rPr>
          <w:bCs/>
          <w:sz w:val="20"/>
          <w:szCs w:val="20"/>
        </w:rPr>
      </w:pPr>
    </w:p>
    <w:p w14:paraId="1219DEE1" w14:textId="5888A625" w:rsidR="001D69C5" w:rsidRPr="0038681A" w:rsidRDefault="002222D4">
      <w:pPr>
        <w:pStyle w:val="BodyText"/>
        <w:spacing w:before="100" w:line="252" w:lineRule="auto"/>
        <w:ind w:left="282" w:right="105"/>
        <w:rPr>
          <w:sz w:val="20"/>
          <w:szCs w:val="20"/>
        </w:rPr>
      </w:pPr>
      <w:r w:rsidRPr="0038681A">
        <w:rPr>
          <w:b/>
          <w:w w:val="105"/>
          <w:sz w:val="20"/>
          <w:szCs w:val="20"/>
        </w:rPr>
        <w:t xml:space="preserve">PURPOSE: </w:t>
      </w:r>
      <w:r w:rsidRPr="0038681A">
        <w:rPr>
          <w:w w:val="105"/>
          <w:sz w:val="20"/>
          <w:szCs w:val="20"/>
        </w:rPr>
        <w:t xml:space="preserve">Avangrid Renewables, LLC, works hard to earn the trust and respect of the communities where we do business. The Community Sponsorship Guidelines set out parameters for where and how the company may make </w:t>
      </w:r>
      <w:r w:rsidRPr="006B1E59">
        <w:rPr>
          <w:w w:val="105"/>
          <w:sz w:val="20"/>
          <w:szCs w:val="20"/>
        </w:rPr>
        <w:t xml:space="preserve">selective </w:t>
      </w:r>
      <w:r w:rsidR="00EF5ED2" w:rsidRPr="006B1E59">
        <w:rPr>
          <w:w w:val="105"/>
          <w:sz w:val="20"/>
          <w:szCs w:val="20"/>
        </w:rPr>
        <w:t xml:space="preserve">sponsorships </w:t>
      </w:r>
      <w:r w:rsidRPr="0038681A">
        <w:rPr>
          <w:w w:val="105"/>
          <w:sz w:val="20"/>
          <w:szCs w:val="20"/>
        </w:rPr>
        <w:t>or company-sanctioned employee volunteer hours in support of local</w:t>
      </w:r>
      <w:r w:rsidRPr="0038681A">
        <w:rPr>
          <w:spacing w:val="3"/>
          <w:w w:val="105"/>
          <w:sz w:val="20"/>
          <w:szCs w:val="20"/>
        </w:rPr>
        <w:t xml:space="preserve"> </w:t>
      </w:r>
      <w:r w:rsidRPr="0038681A">
        <w:rPr>
          <w:w w:val="105"/>
          <w:sz w:val="20"/>
          <w:szCs w:val="20"/>
        </w:rPr>
        <w:t>communities.</w:t>
      </w:r>
    </w:p>
    <w:p w14:paraId="0588083B" w14:textId="77777777" w:rsidR="001D69C5" w:rsidRPr="0038681A" w:rsidRDefault="001D69C5">
      <w:pPr>
        <w:pStyle w:val="BodyText"/>
        <w:rPr>
          <w:sz w:val="20"/>
          <w:szCs w:val="20"/>
        </w:rPr>
      </w:pPr>
    </w:p>
    <w:p w14:paraId="4EB0632C" w14:textId="77777777" w:rsidR="001D69C5" w:rsidRPr="0038681A" w:rsidRDefault="001D69C5">
      <w:pPr>
        <w:pStyle w:val="BodyText"/>
        <w:spacing w:before="9"/>
        <w:rPr>
          <w:sz w:val="20"/>
          <w:szCs w:val="20"/>
        </w:rPr>
      </w:pPr>
    </w:p>
    <w:p w14:paraId="5FD98179" w14:textId="0E296C78" w:rsidR="001D69C5" w:rsidRPr="006B1E59" w:rsidRDefault="002222D4">
      <w:pPr>
        <w:spacing w:line="252" w:lineRule="auto"/>
        <w:ind w:left="282" w:right="218"/>
        <w:jc w:val="both"/>
        <w:rPr>
          <w:sz w:val="20"/>
          <w:szCs w:val="20"/>
        </w:rPr>
      </w:pPr>
      <w:r w:rsidRPr="0038681A">
        <w:rPr>
          <w:b/>
          <w:w w:val="105"/>
          <w:sz w:val="20"/>
          <w:szCs w:val="20"/>
        </w:rPr>
        <w:t xml:space="preserve">SCOPE: </w:t>
      </w:r>
      <w:r w:rsidRPr="0038681A">
        <w:rPr>
          <w:w w:val="105"/>
          <w:sz w:val="20"/>
          <w:szCs w:val="20"/>
        </w:rPr>
        <w:t xml:space="preserve">This policy covers sponsorships on behalf of the Avangrid Renewables, LLC, </w:t>
      </w:r>
      <w:r w:rsidRPr="006B1E59">
        <w:rPr>
          <w:w w:val="105"/>
          <w:sz w:val="20"/>
          <w:szCs w:val="20"/>
        </w:rPr>
        <w:t>and Klamath Energy.</w:t>
      </w:r>
    </w:p>
    <w:p w14:paraId="3648EDC7" w14:textId="77777777" w:rsidR="001D69C5" w:rsidRPr="0038681A" w:rsidRDefault="001D69C5">
      <w:pPr>
        <w:pStyle w:val="BodyText"/>
        <w:rPr>
          <w:sz w:val="20"/>
          <w:szCs w:val="20"/>
        </w:rPr>
      </w:pPr>
    </w:p>
    <w:p w14:paraId="26D6B792" w14:textId="77777777" w:rsidR="001D69C5" w:rsidRPr="0038681A" w:rsidRDefault="001D69C5">
      <w:pPr>
        <w:pStyle w:val="BodyText"/>
        <w:spacing w:before="2"/>
        <w:rPr>
          <w:sz w:val="20"/>
          <w:szCs w:val="20"/>
        </w:rPr>
      </w:pPr>
    </w:p>
    <w:p w14:paraId="2A94905C" w14:textId="0AF40309" w:rsidR="001D69C5" w:rsidRPr="0038681A" w:rsidRDefault="002222D4" w:rsidP="006B1E59">
      <w:pPr>
        <w:pStyle w:val="BodyText"/>
        <w:ind w:left="282"/>
        <w:jc w:val="both"/>
        <w:rPr>
          <w:sz w:val="20"/>
          <w:szCs w:val="20"/>
        </w:rPr>
      </w:pPr>
      <w:r w:rsidRPr="0038681A">
        <w:rPr>
          <w:b/>
          <w:w w:val="105"/>
          <w:sz w:val="20"/>
          <w:szCs w:val="20"/>
        </w:rPr>
        <w:t xml:space="preserve">POLICY OWNER: </w:t>
      </w:r>
      <w:r w:rsidRPr="0038681A">
        <w:rPr>
          <w:w w:val="105"/>
          <w:sz w:val="20"/>
          <w:szCs w:val="20"/>
        </w:rPr>
        <w:t xml:space="preserve">Avangrid </w:t>
      </w:r>
      <w:r w:rsidRPr="006B1E59">
        <w:rPr>
          <w:w w:val="105"/>
          <w:sz w:val="20"/>
          <w:szCs w:val="20"/>
        </w:rPr>
        <w:t xml:space="preserve">Renewables, </w:t>
      </w:r>
      <w:r w:rsidR="00EF5ED2" w:rsidRPr="006B1E59">
        <w:rPr>
          <w:w w:val="105"/>
          <w:sz w:val="20"/>
          <w:szCs w:val="20"/>
        </w:rPr>
        <w:t xml:space="preserve">Policy, Regulation and Markets. </w:t>
      </w:r>
      <w:r w:rsidRPr="0038681A">
        <w:rPr>
          <w:w w:val="105"/>
          <w:sz w:val="20"/>
          <w:szCs w:val="20"/>
        </w:rPr>
        <w:t>Questions should be directed to</w:t>
      </w:r>
      <w:r w:rsidRPr="0038681A">
        <w:rPr>
          <w:spacing w:val="1"/>
          <w:w w:val="105"/>
          <w:sz w:val="20"/>
          <w:szCs w:val="20"/>
        </w:rPr>
        <w:t xml:space="preserve"> </w:t>
      </w:r>
      <w:hyperlink r:id="rId9">
        <w:r w:rsidRPr="0038681A">
          <w:rPr>
            <w:w w:val="105"/>
            <w:sz w:val="20"/>
            <w:szCs w:val="20"/>
          </w:rPr>
          <w:t>community@avangrid.com.</w:t>
        </w:r>
      </w:hyperlink>
    </w:p>
    <w:p w14:paraId="2072F091" w14:textId="77777777" w:rsidR="001D69C5" w:rsidRPr="0038681A" w:rsidRDefault="001D69C5">
      <w:pPr>
        <w:pStyle w:val="BodyText"/>
        <w:rPr>
          <w:sz w:val="20"/>
          <w:szCs w:val="20"/>
        </w:rPr>
      </w:pPr>
    </w:p>
    <w:p w14:paraId="7483A7AA" w14:textId="77777777" w:rsidR="001D69C5" w:rsidRPr="0038681A" w:rsidRDefault="001D69C5">
      <w:pPr>
        <w:pStyle w:val="BodyText"/>
        <w:spacing w:before="11"/>
        <w:rPr>
          <w:sz w:val="20"/>
          <w:szCs w:val="20"/>
        </w:rPr>
      </w:pPr>
    </w:p>
    <w:p w14:paraId="79C41F6A" w14:textId="77777777" w:rsidR="001D69C5" w:rsidRPr="0038681A" w:rsidRDefault="002222D4">
      <w:pPr>
        <w:pStyle w:val="Heading1"/>
        <w:rPr>
          <w:sz w:val="20"/>
          <w:szCs w:val="20"/>
        </w:rPr>
      </w:pPr>
      <w:r w:rsidRPr="0038681A">
        <w:rPr>
          <w:w w:val="105"/>
          <w:sz w:val="20"/>
          <w:szCs w:val="20"/>
        </w:rPr>
        <w:t>POLICY:</w:t>
      </w:r>
    </w:p>
    <w:p w14:paraId="73F60CAE" w14:textId="77777777" w:rsidR="001D69C5" w:rsidRPr="0038681A" w:rsidRDefault="002222D4">
      <w:pPr>
        <w:pStyle w:val="ListParagraph"/>
        <w:numPr>
          <w:ilvl w:val="1"/>
          <w:numId w:val="2"/>
        </w:numPr>
        <w:tabs>
          <w:tab w:val="left" w:pos="672"/>
        </w:tabs>
        <w:spacing w:before="132"/>
        <w:jc w:val="left"/>
        <w:rPr>
          <w:b/>
          <w:sz w:val="20"/>
          <w:szCs w:val="20"/>
        </w:rPr>
      </w:pPr>
      <w:r w:rsidRPr="0038681A">
        <w:rPr>
          <w:b/>
          <w:w w:val="105"/>
          <w:sz w:val="20"/>
          <w:szCs w:val="20"/>
        </w:rPr>
        <w:t>Sponsorship Types and</w:t>
      </w:r>
      <w:r w:rsidRPr="0038681A">
        <w:rPr>
          <w:b/>
          <w:spacing w:val="3"/>
          <w:w w:val="105"/>
          <w:sz w:val="20"/>
          <w:szCs w:val="20"/>
        </w:rPr>
        <w:t xml:space="preserve"> </w:t>
      </w:r>
      <w:r w:rsidRPr="0038681A">
        <w:rPr>
          <w:b/>
          <w:w w:val="105"/>
          <w:sz w:val="20"/>
          <w:szCs w:val="20"/>
        </w:rPr>
        <w:t>Availability</w:t>
      </w:r>
    </w:p>
    <w:p w14:paraId="4151740F" w14:textId="58B12412" w:rsidR="001D69C5" w:rsidRPr="0038681A" w:rsidRDefault="002222D4">
      <w:pPr>
        <w:pStyle w:val="BodyText"/>
        <w:spacing w:before="7" w:line="252" w:lineRule="auto"/>
        <w:ind w:left="282" w:right="151"/>
        <w:rPr>
          <w:sz w:val="20"/>
          <w:szCs w:val="20"/>
        </w:rPr>
      </w:pPr>
      <w:r w:rsidRPr="0038681A">
        <w:rPr>
          <w:w w:val="105"/>
          <w:sz w:val="20"/>
          <w:szCs w:val="20"/>
        </w:rPr>
        <w:t>Sponsorships may consist of monetary contributions of Avangrid Renewables</w:t>
      </w:r>
      <w:r w:rsidR="006B1E59">
        <w:rPr>
          <w:w w:val="105"/>
          <w:sz w:val="20"/>
          <w:szCs w:val="20"/>
        </w:rPr>
        <w:t>’</w:t>
      </w:r>
      <w:r w:rsidRPr="0038681A">
        <w:rPr>
          <w:w w:val="105"/>
          <w:sz w:val="20"/>
          <w:szCs w:val="20"/>
        </w:rPr>
        <w:t xml:space="preserve"> employee</w:t>
      </w:r>
      <w:r w:rsidR="00E046AF">
        <w:rPr>
          <w:w w:val="105"/>
          <w:sz w:val="20"/>
          <w:szCs w:val="20"/>
        </w:rPr>
        <w:t>’s</w:t>
      </w:r>
      <w:r w:rsidRPr="0038681A">
        <w:rPr>
          <w:w w:val="105"/>
          <w:sz w:val="20"/>
          <w:szCs w:val="20"/>
        </w:rPr>
        <w:t xml:space="preserve"> time and </w:t>
      </w:r>
      <w:r w:rsidRPr="006B1E59">
        <w:rPr>
          <w:w w:val="105"/>
          <w:sz w:val="20"/>
          <w:szCs w:val="20"/>
        </w:rPr>
        <w:t>skill</w:t>
      </w:r>
      <w:r w:rsidR="00E046AF" w:rsidRPr="006B1E59">
        <w:rPr>
          <w:w w:val="105"/>
          <w:sz w:val="20"/>
          <w:szCs w:val="20"/>
        </w:rPr>
        <w:t xml:space="preserve"> as volunteer hours</w:t>
      </w:r>
      <w:r w:rsidRPr="006B1E59">
        <w:rPr>
          <w:w w:val="105"/>
          <w:sz w:val="20"/>
          <w:szCs w:val="20"/>
        </w:rPr>
        <w:t xml:space="preserve">. </w:t>
      </w:r>
      <w:r w:rsidRPr="0038681A">
        <w:rPr>
          <w:w w:val="105"/>
          <w:sz w:val="20"/>
          <w:szCs w:val="20"/>
        </w:rPr>
        <w:t>The form and value of the sponsorship are at the discretion of the</w:t>
      </w:r>
      <w:r w:rsidRPr="0038681A">
        <w:rPr>
          <w:spacing w:val="1"/>
          <w:w w:val="105"/>
          <w:sz w:val="20"/>
          <w:szCs w:val="20"/>
        </w:rPr>
        <w:t xml:space="preserve"> </w:t>
      </w:r>
      <w:r w:rsidRPr="0038681A">
        <w:rPr>
          <w:w w:val="105"/>
          <w:sz w:val="20"/>
          <w:szCs w:val="20"/>
        </w:rPr>
        <w:t>company.</w:t>
      </w:r>
    </w:p>
    <w:p w14:paraId="6CDE3F3C" w14:textId="77777777" w:rsidR="001D69C5" w:rsidRPr="0038681A" w:rsidRDefault="001D69C5">
      <w:pPr>
        <w:pStyle w:val="BodyText"/>
        <w:rPr>
          <w:sz w:val="20"/>
          <w:szCs w:val="20"/>
        </w:rPr>
      </w:pPr>
    </w:p>
    <w:p w14:paraId="252CCE32" w14:textId="77777777" w:rsidR="001D69C5" w:rsidRPr="0038681A" w:rsidRDefault="001D69C5">
      <w:pPr>
        <w:pStyle w:val="BodyText"/>
        <w:spacing w:before="2"/>
        <w:rPr>
          <w:sz w:val="20"/>
          <w:szCs w:val="20"/>
        </w:rPr>
      </w:pPr>
    </w:p>
    <w:p w14:paraId="42EF0F22" w14:textId="03DAE98F" w:rsidR="001D69C5" w:rsidRPr="0038681A" w:rsidRDefault="006B1E59">
      <w:pPr>
        <w:pStyle w:val="Heading1"/>
        <w:numPr>
          <w:ilvl w:val="1"/>
          <w:numId w:val="2"/>
        </w:numPr>
        <w:tabs>
          <w:tab w:val="left" w:pos="1392"/>
        </w:tabs>
        <w:spacing w:line="252" w:lineRule="auto"/>
        <w:ind w:left="1002" w:right="132" w:firstLine="0"/>
        <w:jc w:val="left"/>
        <w:rPr>
          <w:sz w:val="20"/>
          <w:szCs w:val="20"/>
        </w:rPr>
      </w:pPr>
      <w:r>
        <w:rPr>
          <w:w w:val="105"/>
          <w:sz w:val="20"/>
          <w:szCs w:val="20"/>
        </w:rPr>
        <w:t>T</w:t>
      </w:r>
      <w:r w:rsidR="002222D4" w:rsidRPr="0038681A">
        <w:rPr>
          <w:w w:val="105"/>
          <w:sz w:val="20"/>
          <w:szCs w:val="20"/>
        </w:rPr>
        <w:t>o be considered, proposed sponsorships should generally fall into one of the following</w:t>
      </w:r>
      <w:r w:rsidR="002222D4" w:rsidRPr="0038681A">
        <w:rPr>
          <w:spacing w:val="1"/>
          <w:w w:val="105"/>
          <w:sz w:val="20"/>
          <w:szCs w:val="20"/>
        </w:rPr>
        <w:t xml:space="preserve"> </w:t>
      </w:r>
      <w:r w:rsidR="002222D4" w:rsidRPr="0038681A">
        <w:rPr>
          <w:w w:val="105"/>
          <w:sz w:val="20"/>
          <w:szCs w:val="20"/>
        </w:rPr>
        <w:t>categories:</w:t>
      </w:r>
    </w:p>
    <w:p w14:paraId="68246351" w14:textId="77777777" w:rsidR="001D69C5" w:rsidRPr="0038681A" w:rsidRDefault="002222D4">
      <w:pPr>
        <w:pStyle w:val="ListParagraph"/>
        <w:numPr>
          <w:ilvl w:val="2"/>
          <w:numId w:val="2"/>
        </w:numPr>
        <w:tabs>
          <w:tab w:val="left" w:pos="2279"/>
        </w:tabs>
        <w:spacing w:line="252" w:lineRule="auto"/>
        <w:ind w:right="800" w:firstLine="0"/>
        <w:rPr>
          <w:sz w:val="20"/>
          <w:szCs w:val="20"/>
        </w:rPr>
      </w:pPr>
      <w:r w:rsidRPr="0038681A">
        <w:rPr>
          <w:b/>
          <w:w w:val="105"/>
          <w:sz w:val="20"/>
          <w:szCs w:val="20"/>
        </w:rPr>
        <w:t xml:space="preserve">Arts &amp; Culture </w:t>
      </w:r>
      <w:r w:rsidRPr="0038681A">
        <w:rPr>
          <w:w w:val="105"/>
          <w:sz w:val="20"/>
          <w:szCs w:val="20"/>
        </w:rPr>
        <w:t>- such as sponsorships of concerts, county fairs, museums, rodeos, theaters, local festivals.</w:t>
      </w:r>
    </w:p>
    <w:p w14:paraId="5702FDB4" w14:textId="77777777" w:rsidR="001D69C5" w:rsidRPr="0038681A" w:rsidRDefault="002222D4">
      <w:pPr>
        <w:pStyle w:val="ListParagraph"/>
        <w:numPr>
          <w:ilvl w:val="2"/>
          <w:numId w:val="2"/>
        </w:numPr>
        <w:tabs>
          <w:tab w:val="left" w:pos="2279"/>
        </w:tabs>
        <w:spacing w:line="252" w:lineRule="auto"/>
        <w:ind w:right="400" w:firstLine="0"/>
        <w:rPr>
          <w:sz w:val="20"/>
          <w:szCs w:val="20"/>
        </w:rPr>
      </w:pPr>
      <w:r w:rsidRPr="0038681A">
        <w:rPr>
          <w:b/>
          <w:w w:val="105"/>
          <w:sz w:val="20"/>
          <w:szCs w:val="20"/>
        </w:rPr>
        <w:t xml:space="preserve">Environment/Sustainable Energy </w:t>
      </w:r>
      <w:r w:rsidRPr="0038681A">
        <w:rPr>
          <w:w w:val="105"/>
          <w:sz w:val="20"/>
          <w:szCs w:val="20"/>
        </w:rPr>
        <w:t>- such as community educational programs, Earth Day events, and other activities to strengthen conservation and environmental awareness.</w:t>
      </w:r>
    </w:p>
    <w:p w14:paraId="28CBD615" w14:textId="77777777" w:rsidR="001D69C5" w:rsidRPr="0038681A" w:rsidRDefault="002222D4">
      <w:pPr>
        <w:pStyle w:val="ListParagraph"/>
        <w:numPr>
          <w:ilvl w:val="2"/>
          <w:numId w:val="2"/>
        </w:numPr>
        <w:tabs>
          <w:tab w:val="left" w:pos="2279"/>
        </w:tabs>
        <w:spacing w:before="118"/>
        <w:ind w:left="2278" w:hanging="557"/>
        <w:rPr>
          <w:sz w:val="20"/>
          <w:szCs w:val="20"/>
        </w:rPr>
      </w:pPr>
      <w:r w:rsidRPr="0038681A">
        <w:rPr>
          <w:b/>
          <w:w w:val="105"/>
          <w:sz w:val="20"/>
          <w:szCs w:val="20"/>
        </w:rPr>
        <w:t>Cooperation &amp; Solidarity -</w:t>
      </w:r>
      <w:r w:rsidRPr="0038681A">
        <w:rPr>
          <w:b/>
          <w:spacing w:val="3"/>
          <w:w w:val="105"/>
          <w:sz w:val="20"/>
          <w:szCs w:val="20"/>
        </w:rPr>
        <w:t xml:space="preserve"> </w:t>
      </w:r>
      <w:r w:rsidRPr="0038681A">
        <w:rPr>
          <w:w w:val="105"/>
          <w:sz w:val="20"/>
          <w:szCs w:val="20"/>
        </w:rPr>
        <w:t>including:</w:t>
      </w:r>
    </w:p>
    <w:p w14:paraId="2EE0A87D" w14:textId="77777777" w:rsidR="001D69C5" w:rsidRPr="0038681A" w:rsidRDefault="002222D4" w:rsidP="006B1E59">
      <w:pPr>
        <w:pStyle w:val="BodyText"/>
        <w:spacing w:before="132" w:line="252" w:lineRule="auto"/>
        <w:ind w:left="1710"/>
        <w:rPr>
          <w:sz w:val="20"/>
          <w:szCs w:val="20"/>
        </w:rPr>
      </w:pPr>
      <w:r w:rsidRPr="0038681A">
        <w:rPr>
          <w:b/>
          <w:w w:val="105"/>
          <w:sz w:val="20"/>
          <w:szCs w:val="20"/>
        </w:rPr>
        <w:t xml:space="preserve">Health </w:t>
      </w:r>
      <w:r w:rsidRPr="0038681A">
        <w:rPr>
          <w:w w:val="105"/>
          <w:sz w:val="20"/>
          <w:szCs w:val="20"/>
        </w:rPr>
        <w:t>- such as contributing to local hospitals for equipment, facility upgrades, health fairs, and medical research and patient support.</w:t>
      </w:r>
    </w:p>
    <w:p w14:paraId="7BAC9A79" w14:textId="77777777" w:rsidR="001D69C5" w:rsidRPr="0038681A" w:rsidRDefault="002222D4" w:rsidP="006B1E59">
      <w:pPr>
        <w:pStyle w:val="BodyText"/>
        <w:spacing w:before="2" w:line="252" w:lineRule="auto"/>
        <w:ind w:left="1710" w:right="114"/>
        <w:rPr>
          <w:sz w:val="20"/>
          <w:szCs w:val="20"/>
        </w:rPr>
      </w:pPr>
      <w:r w:rsidRPr="0038681A">
        <w:rPr>
          <w:b/>
          <w:w w:val="105"/>
          <w:sz w:val="20"/>
          <w:szCs w:val="20"/>
        </w:rPr>
        <w:t xml:space="preserve">Social Welfare </w:t>
      </w:r>
      <w:r w:rsidRPr="0038681A">
        <w:rPr>
          <w:w w:val="105"/>
          <w:sz w:val="20"/>
          <w:szCs w:val="20"/>
        </w:rPr>
        <w:t>- such as food pantry funding, holiday gifts for homeless children, and other appropriate activities.</w:t>
      </w:r>
    </w:p>
    <w:p w14:paraId="27AF16B5" w14:textId="77777777" w:rsidR="001D69C5" w:rsidRPr="0038681A" w:rsidRDefault="002222D4" w:rsidP="006B1E59">
      <w:pPr>
        <w:pStyle w:val="BodyText"/>
        <w:spacing w:before="2" w:line="252" w:lineRule="auto"/>
        <w:ind w:left="1710" w:right="115"/>
        <w:rPr>
          <w:sz w:val="20"/>
          <w:szCs w:val="20"/>
        </w:rPr>
      </w:pPr>
      <w:r w:rsidRPr="0038681A">
        <w:rPr>
          <w:b/>
          <w:w w:val="105"/>
          <w:sz w:val="20"/>
          <w:szCs w:val="20"/>
        </w:rPr>
        <w:t xml:space="preserve">Education and Young People </w:t>
      </w:r>
      <w:r w:rsidRPr="0038681A">
        <w:rPr>
          <w:w w:val="105"/>
          <w:sz w:val="20"/>
          <w:szCs w:val="20"/>
        </w:rPr>
        <w:t>- such as the purchase of kits and volunteering to help build-and-design-your-own-wind-turbines, student competitions involving renewable energy, scholarships including for community college wind technician training, science lab equipment, and the purchase of school safety equipment.</w:t>
      </w:r>
    </w:p>
    <w:p w14:paraId="0306F640" w14:textId="77777777" w:rsidR="001D69C5" w:rsidRPr="0038681A" w:rsidRDefault="002222D4">
      <w:pPr>
        <w:pStyle w:val="ListParagraph"/>
        <w:numPr>
          <w:ilvl w:val="2"/>
          <w:numId w:val="2"/>
        </w:numPr>
        <w:tabs>
          <w:tab w:val="left" w:pos="2279"/>
        </w:tabs>
        <w:spacing w:before="124" w:line="252" w:lineRule="auto"/>
        <w:ind w:right="443" w:firstLine="0"/>
        <w:rPr>
          <w:sz w:val="20"/>
          <w:szCs w:val="20"/>
        </w:rPr>
      </w:pPr>
      <w:r w:rsidRPr="0038681A">
        <w:rPr>
          <w:b/>
          <w:w w:val="105"/>
          <w:sz w:val="20"/>
          <w:szCs w:val="20"/>
        </w:rPr>
        <w:t xml:space="preserve">Economic Development </w:t>
      </w:r>
      <w:r w:rsidRPr="0038681A">
        <w:rPr>
          <w:w w:val="105"/>
          <w:sz w:val="20"/>
          <w:szCs w:val="20"/>
        </w:rPr>
        <w:t>- such as support for development or improvement of community parks, gardens, or meeting</w:t>
      </w:r>
      <w:r w:rsidRPr="0038681A">
        <w:rPr>
          <w:spacing w:val="2"/>
          <w:w w:val="105"/>
          <w:sz w:val="20"/>
          <w:szCs w:val="20"/>
        </w:rPr>
        <w:t xml:space="preserve"> </w:t>
      </w:r>
      <w:r w:rsidRPr="0038681A">
        <w:rPr>
          <w:w w:val="105"/>
          <w:sz w:val="20"/>
          <w:szCs w:val="20"/>
        </w:rPr>
        <w:t>facilities.</w:t>
      </w:r>
    </w:p>
    <w:p w14:paraId="3D219638" w14:textId="77777777" w:rsidR="001D69C5" w:rsidRPr="0038681A" w:rsidRDefault="002222D4">
      <w:pPr>
        <w:pStyle w:val="ListParagraph"/>
        <w:numPr>
          <w:ilvl w:val="2"/>
          <w:numId w:val="2"/>
        </w:numPr>
        <w:tabs>
          <w:tab w:val="left" w:pos="2279"/>
        </w:tabs>
        <w:spacing w:line="247" w:lineRule="auto"/>
        <w:ind w:right="621" w:firstLine="0"/>
        <w:rPr>
          <w:sz w:val="20"/>
          <w:szCs w:val="20"/>
        </w:rPr>
      </w:pPr>
      <w:r w:rsidRPr="0038681A">
        <w:rPr>
          <w:b/>
          <w:w w:val="105"/>
          <w:sz w:val="20"/>
          <w:szCs w:val="20"/>
        </w:rPr>
        <w:t xml:space="preserve">Emergency Relief </w:t>
      </w:r>
      <w:r w:rsidRPr="0038681A">
        <w:rPr>
          <w:w w:val="105"/>
          <w:sz w:val="20"/>
          <w:szCs w:val="20"/>
        </w:rPr>
        <w:t>- such as blood drives, home heating for low-income households, aid for fire and emergency-response services, and disaster</w:t>
      </w:r>
      <w:r w:rsidRPr="0038681A">
        <w:rPr>
          <w:spacing w:val="-26"/>
          <w:w w:val="105"/>
          <w:sz w:val="20"/>
          <w:szCs w:val="20"/>
        </w:rPr>
        <w:t xml:space="preserve"> </w:t>
      </w:r>
      <w:r w:rsidRPr="0038681A">
        <w:rPr>
          <w:w w:val="105"/>
          <w:sz w:val="20"/>
          <w:szCs w:val="20"/>
        </w:rPr>
        <w:t>assistance.</w:t>
      </w:r>
    </w:p>
    <w:p w14:paraId="4C8CB930" w14:textId="77777777" w:rsidR="001D69C5" w:rsidRPr="0038681A" w:rsidRDefault="002222D4">
      <w:pPr>
        <w:pStyle w:val="ListParagraph"/>
        <w:numPr>
          <w:ilvl w:val="2"/>
          <w:numId w:val="2"/>
        </w:numPr>
        <w:tabs>
          <w:tab w:val="left" w:pos="2279"/>
        </w:tabs>
        <w:spacing w:before="126" w:line="252" w:lineRule="auto"/>
        <w:ind w:right="624" w:firstLine="0"/>
        <w:jc w:val="both"/>
        <w:rPr>
          <w:sz w:val="20"/>
          <w:szCs w:val="20"/>
        </w:rPr>
      </w:pPr>
      <w:r w:rsidRPr="0038681A">
        <w:rPr>
          <w:b/>
          <w:w w:val="105"/>
          <w:sz w:val="20"/>
          <w:szCs w:val="20"/>
        </w:rPr>
        <w:t xml:space="preserve">Other Sponsorships </w:t>
      </w:r>
      <w:r w:rsidRPr="0038681A">
        <w:rPr>
          <w:w w:val="105"/>
          <w:sz w:val="20"/>
          <w:szCs w:val="20"/>
        </w:rPr>
        <w:t>- including sports booster clubs and little leagues in the communities that host one or more of the company’s operating facilities, community endowment funds that support multiple local charities, etc.</w:t>
      </w:r>
    </w:p>
    <w:p w14:paraId="4DA944EC" w14:textId="77777777" w:rsidR="001D69C5" w:rsidRPr="0038681A" w:rsidRDefault="001D69C5">
      <w:pPr>
        <w:spacing w:line="252" w:lineRule="auto"/>
        <w:jc w:val="both"/>
        <w:rPr>
          <w:sz w:val="20"/>
          <w:szCs w:val="20"/>
        </w:rPr>
        <w:sectPr w:rsidR="001D69C5" w:rsidRPr="0038681A">
          <w:type w:val="continuous"/>
          <w:pgSz w:w="12240" w:h="15840"/>
          <w:pgMar w:top="620" w:right="1340" w:bottom="280" w:left="1160" w:header="720" w:footer="720" w:gutter="0"/>
          <w:cols w:space="720"/>
        </w:sectPr>
      </w:pPr>
    </w:p>
    <w:p w14:paraId="71C5ED72" w14:textId="2FAC553E" w:rsidR="001D69C5" w:rsidRPr="0038681A" w:rsidRDefault="006B1E59">
      <w:pPr>
        <w:pStyle w:val="ListParagraph"/>
        <w:numPr>
          <w:ilvl w:val="1"/>
          <w:numId w:val="2"/>
        </w:numPr>
        <w:tabs>
          <w:tab w:val="left" w:pos="1392"/>
        </w:tabs>
        <w:spacing w:before="89" w:line="252" w:lineRule="auto"/>
        <w:ind w:left="1002" w:right="354" w:firstLine="0"/>
        <w:jc w:val="left"/>
        <w:rPr>
          <w:sz w:val="20"/>
          <w:szCs w:val="20"/>
        </w:rPr>
      </w:pPr>
      <w:r>
        <w:rPr>
          <w:w w:val="105"/>
          <w:sz w:val="20"/>
          <w:szCs w:val="20"/>
        </w:rPr>
        <w:lastRenderedPageBreak/>
        <w:t xml:space="preserve">To </w:t>
      </w:r>
      <w:r w:rsidR="002222D4" w:rsidRPr="0038681A">
        <w:rPr>
          <w:w w:val="105"/>
          <w:sz w:val="20"/>
          <w:szCs w:val="20"/>
        </w:rPr>
        <w:t>be considered, sp</w:t>
      </w:r>
      <w:r w:rsidR="002222D4" w:rsidRPr="002222D4">
        <w:rPr>
          <w:w w:val="105"/>
          <w:sz w:val="20"/>
          <w:szCs w:val="20"/>
        </w:rPr>
        <w:t>onsorship opportunities must be in the vicinity of a community where the company does business.</w:t>
      </w:r>
    </w:p>
    <w:p w14:paraId="513314D7" w14:textId="59521CA9" w:rsidR="001D69C5" w:rsidRPr="0038681A" w:rsidRDefault="002222D4">
      <w:pPr>
        <w:pStyle w:val="ListParagraph"/>
        <w:numPr>
          <w:ilvl w:val="1"/>
          <w:numId w:val="2"/>
        </w:numPr>
        <w:tabs>
          <w:tab w:val="left" w:pos="1392"/>
        </w:tabs>
        <w:spacing w:line="252" w:lineRule="auto"/>
        <w:ind w:left="1002" w:right="231" w:firstLine="0"/>
        <w:jc w:val="left"/>
        <w:rPr>
          <w:sz w:val="20"/>
          <w:szCs w:val="20"/>
        </w:rPr>
      </w:pPr>
      <w:r w:rsidRPr="0038681A">
        <w:rPr>
          <w:w w:val="105"/>
          <w:sz w:val="20"/>
          <w:szCs w:val="20"/>
        </w:rPr>
        <w:t xml:space="preserve">Amounts available for Community Sponsorships are solely at the discretion of the company. For information on the range of likely grant amounts currently available, contact </w:t>
      </w:r>
      <w:r w:rsidR="00EF5ED2">
        <w:rPr>
          <w:w w:val="105"/>
          <w:sz w:val="20"/>
          <w:szCs w:val="20"/>
        </w:rPr>
        <w:t>community@avangrid.com</w:t>
      </w:r>
      <w:r w:rsidRPr="0038681A">
        <w:rPr>
          <w:w w:val="105"/>
          <w:sz w:val="20"/>
          <w:szCs w:val="20"/>
        </w:rPr>
        <w:t>.</w:t>
      </w:r>
    </w:p>
    <w:p w14:paraId="2FB361A2" w14:textId="77777777" w:rsidR="001D69C5" w:rsidRPr="0038681A" w:rsidRDefault="001D69C5">
      <w:pPr>
        <w:pStyle w:val="BodyText"/>
        <w:rPr>
          <w:sz w:val="20"/>
          <w:szCs w:val="20"/>
        </w:rPr>
      </w:pPr>
    </w:p>
    <w:p w14:paraId="0FB5626A" w14:textId="77777777" w:rsidR="001D69C5" w:rsidRPr="0038681A" w:rsidRDefault="002222D4">
      <w:pPr>
        <w:pStyle w:val="Heading1"/>
        <w:spacing w:before="195"/>
        <w:rPr>
          <w:sz w:val="20"/>
          <w:szCs w:val="20"/>
        </w:rPr>
      </w:pPr>
      <w:r w:rsidRPr="0038681A">
        <w:rPr>
          <w:bCs w:val="0"/>
          <w:w w:val="105"/>
          <w:sz w:val="20"/>
          <w:szCs w:val="20"/>
        </w:rPr>
        <w:t>2.0</w:t>
      </w:r>
      <w:r w:rsidRPr="0038681A">
        <w:rPr>
          <w:b w:val="0"/>
          <w:w w:val="105"/>
          <w:sz w:val="20"/>
          <w:szCs w:val="20"/>
        </w:rPr>
        <w:t xml:space="preserve"> </w:t>
      </w:r>
      <w:r w:rsidRPr="0038681A">
        <w:rPr>
          <w:w w:val="105"/>
          <w:sz w:val="20"/>
          <w:szCs w:val="20"/>
        </w:rPr>
        <w:t>Employee Advocate</w:t>
      </w:r>
    </w:p>
    <w:p w14:paraId="3C8D38D3" w14:textId="0FA2FF9A" w:rsidR="001D69C5" w:rsidRPr="0038681A" w:rsidRDefault="002222D4">
      <w:pPr>
        <w:pStyle w:val="BodyText"/>
        <w:spacing w:before="132" w:line="252" w:lineRule="auto"/>
        <w:ind w:left="282" w:right="207"/>
        <w:rPr>
          <w:sz w:val="20"/>
          <w:szCs w:val="20"/>
        </w:rPr>
      </w:pPr>
      <w:r w:rsidRPr="0038681A">
        <w:rPr>
          <w:w w:val="105"/>
          <w:sz w:val="20"/>
          <w:szCs w:val="20"/>
        </w:rPr>
        <w:t xml:space="preserve">Each application for a Community Sponsorship must be made in association with an employee advocate of an Avangrid Renewables, LLC, business entity. That employee will act as liaison between the company and the Applicant </w:t>
      </w:r>
      <w:r w:rsidR="00286FB7" w:rsidRPr="0038681A">
        <w:rPr>
          <w:w w:val="105"/>
          <w:sz w:val="20"/>
          <w:szCs w:val="20"/>
        </w:rPr>
        <w:t>Organization and</w:t>
      </w:r>
      <w:r w:rsidRPr="0038681A">
        <w:rPr>
          <w:w w:val="105"/>
          <w:sz w:val="20"/>
          <w:szCs w:val="20"/>
        </w:rPr>
        <w:t xml:space="preserve"> will act as a single-point-of-contact for those within the company evaluating the request. Any application without an employee advocate will be considered incomplete as described in 3.1 below.</w:t>
      </w:r>
    </w:p>
    <w:p w14:paraId="10C9D8F6" w14:textId="77777777" w:rsidR="001D69C5" w:rsidRPr="0038681A" w:rsidRDefault="001D69C5">
      <w:pPr>
        <w:pStyle w:val="BodyText"/>
        <w:rPr>
          <w:sz w:val="20"/>
          <w:szCs w:val="20"/>
        </w:rPr>
      </w:pPr>
    </w:p>
    <w:p w14:paraId="2A9514D5" w14:textId="77777777" w:rsidR="001D69C5" w:rsidRPr="0038681A" w:rsidRDefault="002222D4">
      <w:pPr>
        <w:pStyle w:val="Heading1"/>
        <w:numPr>
          <w:ilvl w:val="1"/>
          <w:numId w:val="1"/>
        </w:numPr>
        <w:tabs>
          <w:tab w:val="left" w:pos="672"/>
        </w:tabs>
        <w:spacing w:before="194"/>
        <w:jc w:val="left"/>
        <w:rPr>
          <w:sz w:val="20"/>
          <w:szCs w:val="20"/>
        </w:rPr>
      </w:pPr>
      <w:r w:rsidRPr="0038681A">
        <w:rPr>
          <w:w w:val="105"/>
          <w:sz w:val="20"/>
          <w:szCs w:val="20"/>
        </w:rPr>
        <w:t>Application and Decision-Making</w:t>
      </w:r>
      <w:r w:rsidRPr="0038681A">
        <w:rPr>
          <w:spacing w:val="3"/>
          <w:w w:val="105"/>
          <w:sz w:val="20"/>
          <w:szCs w:val="20"/>
        </w:rPr>
        <w:t xml:space="preserve"> </w:t>
      </w:r>
      <w:r w:rsidRPr="0038681A">
        <w:rPr>
          <w:w w:val="105"/>
          <w:sz w:val="20"/>
          <w:szCs w:val="20"/>
        </w:rPr>
        <w:t>Process</w:t>
      </w:r>
    </w:p>
    <w:p w14:paraId="344D0373" w14:textId="5A31CF29" w:rsidR="001D69C5" w:rsidRPr="0038681A" w:rsidRDefault="00426C39">
      <w:pPr>
        <w:pStyle w:val="ListParagraph"/>
        <w:numPr>
          <w:ilvl w:val="1"/>
          <w:numId w:val="1"/>
        </w:numPr>
        <w:tabs>
          <w:tab w:val="left" w:pos="1392"/>
        </w:tabs>
        <w:spacing w:before="132" w:line="252" w:lineRule="auto"/>
        <w:ind w:left="1002" w:right="333" w:firstLine="0"/>
        <w:jc w:val="left"/>
        <w:rPr>
          <w:sz w:val="20"/>
          <w:szCs w:val="20"/>
        </w:rPr>
      </w:pPr>
      <w:r>
        <w:rPr>
          <w:w w:val="105"/>
          <w:sz w:val="20"/>
          <w:szCs w:val="20"/>
        </w:rPr>
        <w:t>T</w:t>
      </w:r>
      <w:r w:rsidR="002222D4" w:rsidRPr="0038681A">
        <w:rPr>
          <w:w w:val="105"/>
          <w:sz w:val="20"/>
          <w:szCs w:val="20"/>
        </w:rPr>
        <w:t xml:space="preserve">o be considered for a donation, a completed </w:t>
      </w:r>
      <w:r w:rsidR="002222D4" w:rsidRPr="0038681A">
        <w:rPr>
          <w:b/>
          <w:w w:val="105"/>
          <w:sz w:val="20"/>
          <w:szCs w:val="20"/>
        </w:rPr>
        <w:t xml:space="preserve">Avangrid Renewables, LLC, Community Sponsorship Application </w:t>
      </w:r>
      <w:r w:rsidR="002222D4" w:rsidRPr="0038681A">
        <w:rPr>
          <w:w w:val="105"/>
          <w:sz w:val="20"/>
          <w:szCs w:val="20"/>
        </w:rPr>
        <w:t>must be submitted in the manner noted on the application form. Incomplete forms will not be accepted. Applications deemed incomplete may be</w:t>
      </w:r>
      <w:r w:rsidR="002222D4" w:rsidRPr="0038681A">
        <w:rPr>
          <w:spacing w:val="1"/>
          <w:w w:val="105"/>
          <w:sz w:val="20"/>
          <w:szCs w:val="20"/>
        </w:rPr>
        <w:t xml:space="preserve"> </w:t>
      </w:r>
      <w:r w:rsidR="002222D4" w:rsidRPr="0038681A">
        <w:rPr>
          <w:w w:val="105"/>
          <w:sz w:val="20"/>
          <w:szCs w:val="20"/>
        </w:rPr>
        <w:t>re-submitted.</w:t>
      </w:r>
    </w:p>
    <w:p w14:paraId="098A24FA" w14:textId="26845028" w:rsidR="001D69C5" w:rsidRPr="0038681A" w:rsidRDefault="002222D4">
      <w:pPr>
        <w:pStyle w:val="ListParagraph"/>
        <w:numPr>
          <w:ilvl w:val="1"/>
          <w:numId w:val="1"/>
        </w:numPr>
        <w:tabs>
          <w:tab w:val="left" w:pos="1392"/>
        </w:tabs>
        <w:spacing w:before="124" w:line="252" w:lineRule="auto"/>
        <w:ind w:left="1002" w:right="153" w:firstLine="0"/>
        <w:jc w:val="both"/>
        <w:rPr>
          <w:sz w:val="20"/>
          <w:szCs w:val="20"/>
        </w:rPr>
      </w:pPr>
      <w:r w:rsidRPr="0038681A">
        <w:rPr>
          <w:w w:val="105"/>
          <w:sz w:val="20"/>
          <w:szCs w:val="20"/>
        </w:rPr>
        <w:t xml:space="preserve">Sponsorship applications will only be accepted for entities organized under Section 501(c)(3) of the Internal Revenue Code and local governments where a related organization with 501(c)(3) status is not </w:t>
      </w:r>
      <w:r w:rsidR="00286FB7" w:rsidRPr="0038681A">
        <w:rPr>
          <w:w w:val="105"/>
          <w:sz w:val="20"/>
          <w:szCs w:val="20"/>
        </w:rPr>
        <w:t>established and</w:t>
      </w:r>
      <w:r w:rsidRPr="0038681A">
        <w:rPr>
          <w:w w:val="105"/>
          <w:sz w:val="20"/>
          <w:szCs w:val="20"/>
        </w:rPr>
        <w:t xml:space="preserve"> may not support political or religious organizations and</w:t>
      </w:r>
      <w:r w:rsidRPr="0038681A">
        <w:rPr>
          <w:spacing w:val="-24"/>
          <w:w w:val="105"/>
          <w:sz w:val="20"/>
          <w:szCs w:val="20"/>
        </w:rPr>
        <w:t xml:space="preserve"> </w:t>
      </w:r>
      <w:r w:rsidRPr="0038681A">
        <w:rPr>
          <w:w w:val="105"/>
          <w:sz w:val="20"/>
          <w:szCs w:val="20"/>
        </w:rPr>
        <w:t>activities.</w:t>
      </w:r>
    </w:p>
    <w:p w14:paraId="13B94844" w14:textId="43E53BC6" w:rsidR="001D69C5" w:rsidRPr="0038681A" w:rsidRDefault="002222D4">
      <w:pPr>
        <w:pStyle w:val="ListParagraph"/>
        <w:numPr>
          <w:ilvl w:val="1"/>
          <w:numId w:val="1"/>
        </w:numPr>
        <w:tabs>
          <w:tab w:val="left" w:pos="1392"/>
        </w:tabs>
        <w:spacing w:before="123" w:line="252" w:lineRule="auto"/>
        <w:ind w:left="1002" w:right="876" w:firstLine="0"/>
        <w:jc w:val="left"/>
        <w:rPr>
          <w:sz w:val="20"/>
          <w:szCs w:val="20"/>
        </w:rPr>
      </w:pPr>
      <w:r w:rsidRPr="0038681A">
        <w:rPr>
          <w:w w:val="105"/>
          <w:sz w:val="20"/>
          <w:szCs w:val="20"/>
        </w:rPr>
        <w:t xml:space="preserve">Each corporate office application will be reviewed and acted on by a Contributions Committee which is appointed by the CEO and convened by the head </w:t>
      </w:r>
      <w:r w:rsidRPr="00426C39">
        <w:rPr>
          <w:w w:val="105"/>
          <w:sz w:val="20"/>
          <w:szCs w:val="20"/>
        </w:rPr>
        <w:t xml:space="preserve">of </w:t>
      </w:r>
      <w:r w:rsidR="00EF5ED2" w:rsidRPr="00426C39">
        <w:rPr>
          <w:w w:val="105"/>
          <w:sz w:val="20"/>
          <w:szCs w:val="20"/>
        </w:rPr>
        <w:t>Policy, Regulation and Markets</w:t>
      </w:r>
      <w:r w:rsidRPr="00426C39">
        <w:rPr>
          <w:w w:val="105"/>
          <w:sz w:val="20"/>
          <w:szCs w:val="20"/>
        </w:rPr>
        <w:t>.</w:t>
      </w:r>
    </w:p>
    <w:p w14:paraId="46160A15" w14:textId="77777777" w:rsidR="001D69C5" w:rsidRPr="0038681A" w:rsidRDefault="002222D4">
      <w:pPr>
        <w:pStyle w:val="ListParagraph"/>
        <w:numPr>
          <w:ilvl w:val="1"/>
          <w:numId w:val="1"/>
        </w:numPr>
        <w:tabs>
          <w:tab w:val="left" w:pos="1392"/>
        </w:tabs>
        <w:spacing w:before="117" w:line="252" w:lineRule="auto"/>
        <w:ind w:left="1002" w:right="232" w:firstLine="0"/>
        <w:jc w:val="left"/>
        <w:rPr>
          <w:sz w:val="20"/>
          <w:szCs w:val="20"/>
        </w:rPr>
      </w:pPr>
      <w:r w:rsidRPr="0038681A">
        <w:rPr>
          <w:w w:val="105"/>
          <w:sz w:val="20"/>
          <w:szCs w:val="20"/>
        </w:rPr>
        <w:t>Each application for the area of an operating asset will be forwarded to the relevant plant manager for review and action. In reviewing an application, the plant manager shall consult with other relevant departments as</w:t>
      </w:r>
      <w:r w:rsidRPr="0038681A">
        <w:rPr>
          <w:spacing w:val="2"/>
          <w:w w:val="105"/>
          <w:sz w:val="20"/>
          <w:szCs w:val="20"/>
        </w:rPr>
        <w:t xml:space="preserve"> </w:t>
      </w:r>
      <w:r w:rsidRPr="0038681A">
        <w:rPr>
          <w:w w:val="105"/>
          <w:sz w:val="20"/>
          <w:szCs w:val="20"/>
        </w:rPr>
        <w:t>appropriate.</w:t>
      </w:r>
    </w:p>
    <w:p w14:paraId="568D9601" w14:textId="4C32F9A3" w:rsidR="001D69C5" w:rsidRPr="0038681A" w:rsidRDefault="002222D4">
      <w:pPr>
        <w:pStyle w:val="ListParagraph"/>
        <w:numPr>
          <w:ilvl w:val="1"/>
          <w:numId w:val="1"/>
        </w:numPr>
        <w:tabs>
          <w:tab w:val="left" w:pos="1392"/>
        </w:tabs>
        <w:spacing w:before="123" w:line="252" w:lineRule="auto"/>
        <w:ind w:left="1002" w:right="139" w:firstLine="0"/>
        <w:jc w:val="both"/>
        <w:rPr>
          <w:sz w:val="20"/>
          <w:szCs w:val="20"/>
        </w:rPr>
      </w:pPr>
      <w:r w:rsidRPr="0038681A">
        <w:rPr>
          <w:w w:val="105"/>
          <w:sz w:val="20"/>
          <w:szCs w:val="20"/>
        </w:rPr>
        <w:t xml:space="preserve">Application funding decisions will be communicated to the Employee Advocate and Applicant Organization </w:t>
      </w:r>
      <w:r w:rsidRPr="00426C39">
        <w:rPr>
          <w:w w:val="105"/>
          <w:sz w:val="20"/>
          <w:szCs w:val="20"/>
        </w:rPr>
        <w:t xml:space="preserve">by </w:t>
      </w:r>
      <w:r w:rsidR="002B2B96" w:rsidRPr="00426C39">
        <w:rPr>
          <w:w w:val="105"/>
          <w:sz w:val="20"/>
          <w:szCs w:val="20"/>
        </w:rPr>
        <w:t>Policy, Regulation and Markets</w:t>
      </w:r>
      <w:r w:rsidRPr="00426C39">
        <w:rPr>
          <w:w w:val="105"/>
          <w:sz w:val="20"/>
          <w:szCs w:val="20"/>
        </w:rPr>
        <w:t>.</w:t>
      </w:r>
    </w:p>
    <w:p w14:paraId="10C07E0E" w14:textId="725BDADD" w:rsidR="001D69C5" w:rsidRPr="0038681A" w:rsidRDefault="002B2B96">
      <w:pPr>
        <w:pStyle w:val="ListParagraph"/>
        <w:numPr>
          <w:ilvl w:val="1"/>
          <w:numId w:val="1"/>
        </w:numPr>
        <w:tabs>
          <w:tab w:val="left" w:pos="1392"/>
        </w:tabs>
        <w:spacing w:line="252" w:lineRule="auto"/>
        <w:ind w:left="1002" w:right="876" w:firstLine="0"/>
        <w:jc w:val="left"/>
        <w:rPr>
          <w:sz w:val="20"/>
          <w:szCs w:val="20"/>
        </w:rPr>
      </w:pPr>
      <w:r w:rsidRPr="00426C39">
        <w:rPr>
          <w:w w:val="105"/>
          <w:sz w:val="20"/>
          <w:szCs w:val="20"/>
        </w:rPr>
        <w:t xml:space="preserve">Policy, Regulation and Markets </w:t>
      </w:r>
      <w:r w:rsidR="002222D4" w:rsidRPr="0038681A">
        <w:rPr>
          <w:w w:val="105"/>
          <w:sz w:val="20"/>
          <w:szCs w:val="20"/>
        </w:rPr>
        <w:t>is responsible for processing, accounting, tracking and monitoring all applications.</w:t>
      </w:r>
    </w:p>
    <w:p w14:paraId="43B0A2D2" w14:textId="77777777" w:rsidR="001D69C5" w:rsidRPr="0038681A" w:rsidRDefault="001D69C5">
      <w:pPr>
        <w:pStyle w:val="BodyText"/>
        <w:rPr>
          <w:sz w:val="20"/>
          <w:szCs w:val="20"/>
        </w:rPr>
      </w:pPr>
    </w:p>
    <w:p w14:paraId="6A6333EB" w14:textId="77777777" w:rsidR="001D69C5" w:rsidRPr="0038681A" w:rsidRDefault="002222D4">
      <w:pPr>
        <w:pStyle w:val="Heading1"/>
        <w:spacing w:before="195"/>
        <w:rPr>
          <w:sz w:val="20"/>
          <w:szCs w:val="20"/>
        </w:rPr>
      </w:pPr>
      <w:r w:rsidRPr="0038681A">
        <w:rPr>
          <w:bCs w:val="0"/>
          <w:w w:val="105"/>
          <w:sz w:val="20"/>
          <w:szCs w:val="20"/>
        </w:rPr>
        <w:t>4.0</w:t>
      </w:r>
      <w:r w:rsidRPr="0038681A">
        <w:rPr>
          <w:b w:val="0"/>
          <w:w w:val="105"/>
          <w:sz w:val="20"/>
          <w:szCs w:val="20"/>
        </w:rPr>
        <w:t xml:space="preserve"> </w:t>
      </w:r>
      <w:r w:rsidRPr="0038681A">
        <w:rPr>
          <w:w w:val="105"/>
          <w:sz w:val="20"/>
          <w:szCs w:val="20"/>
        </w:rPr>
        <w:t>Corporate Reporting and Publicity</w:t>
      </w:r>
    </w:p>
    <w:p w14:paraId="7ACBB235" w14:textId="7794E586" w:rsidR="001D69C5" w:rsidRPr="0038681A" w:rsidRDefault="002222D4">
      <w:pPr>
        <w:pStyle w:val="BodyText"/>
        <w:spacing w:before="12" w:line="252" w:lineRule="auto"/>
        <w:ind w:left="282"/>
        <w:rPr>
          <w:sz w:val="20"/>
          <w:szCs w:val="20"/>
        </w:rPr>
      </w:pPr>
      <w:r w:rsidRPr="0038681A">
        <w:rPr>
          <w:w w:val="105"/>
          <w:sz w:val="20"/>
          <w:szCs w:val="20"/>
        </w:rPr>
        <w:t xml:space="preserve">The Applicant Organization understands and agrees that by accepting a sponsorship from Avangrid Renewables, LLC, the applicant will cooperate with the company as needed to fulfill its corporate social responsibility reporting and external publicity requirements in accordance with its corporate parent </w:t>
      </w:r>
      <w:r w:rsidRPr="00426C39">
        <w:rPr>
          <w:w w:val="105"/>
          <w:sz w:val="20"/>
          <w:szCs w:val="20"/>
        </w:rPr>
        <w:t xml:space="preserve">organization </w:t>
      </w:r>
      <w:r w:rsidR="002B2B96" w:rsidRPr="00426C39">
        <w:rPr>
          <w:w w:val="105"/>
          <w:sz w:val="20"/>
          <w:szCs w:val="20"/>
        </w:rPr>
        <w:t>Avangrid Incorporated</w:t>
      </w:r>
      <w:r w:rsidR="00426C39">
        <w:rPr>
          <w:w w:val="105"/>
          <w:sz w:val="20"/>
          <w:szCs w:val="20"/>
        </w:rPr>
        <w:t>.</w:t>
      </w:r>
      <w:r w:rsidRPr="0038681A">
        <w:rPr>
          <w:w w:val="105"/>
          <w:sz w:val="20"/>
          <w:szCs w:val="20"/>
        </w:rPr>
        <w:t xml:space="preserve"> These efforts may extend beyond the time of the applicant’s actual event or project.</w:t>
      </w:r>
    </w:p>
    <w:p w14:paraId="73809469" w14:textId="77777777" w:rsidR="001D69C5" w:rsidRPr="0038681A" w:rsidRDefault="001D69C5">
      <w:pPr>
        <w:pStyle w:val="BodyText"/>
        <w:rPr>
          <w:sz w:val="20"/>
          <w:szCs w:val="20"/>
        </w:rPr>
      </w:pPr>
    </w:p>
    <w:p w14:paraId="26CA7569" w14:textId="77777777" w:rsidR="001D69C5" w:rsidRPr="0038681A" w:rsidRDefault="001D69C5">
      <w:pPr>
        <w:pStyle w:val="BodyText"/>
        <w:spacing w:before="3"/>
        <w:rPr>
          <w:sz w:val="20"/>
          <w:szCs w:val="20"/>
        </w:rPr>
      </w:pPr>
    </w:p>
    <w:p w14:paraId="4006FAF6" w14:textId="77777777" w:rsidR="001D69C5" w:rsidRPr="0038681A" w:rsidRDefault="002222D4">
      <w:pPr>
        <w:ind w:left="282"/>
        <w:rPr>
          <w:b/>
          <w:sz w:val="20"/>
          <w:szCs w:val="20"/>
        </w:rPr>
      </w:pPr>
      <w:r w:rsidRPr="0038681A">
        <w:rPr>
          <w:b/>
          <w:bCs/>
          <w:w w:val="105"/>
          <w:sz w:val="20"/>
          <w:szCs w:val="20"/>
        </w:rPr>
        <w:t>5.0</w:t>
      </w:r>
      <w:r w:rsidRPr="0038681A">
        <w:rPr>
          <w:w w:val="105"/>
          <w:sz w:val="20"/>
          <w:szCs w:val="20"/>
        </w:rPr>
        <w:t xml:space="preserve"> </w:t>
      </w:r>
      <w:r w:rsidRPr="0038681A">
        <w:rPr>
          <w:b/>
          <w:w w:val="105"/>
          <w:sz w:val="20"/>
          <w:szCs w:val="20"/>
        </w:rPr>
        <w:t>Branding</w:t>
      </w:r>
    </w:p>
    <w:p w14:paraId="66D68396" w14:textId="0A355F44" w:rsidR="001D69C5" w:rsidRPr="0038681A" w:rsidRDefault="002222D4">
      <w:pPr>
        <w:pStyle w:val="BodyText"/>
        <w:spacing w:before="12" w:line="252" w:lineRule="auto"/>
        <w:ind w:left="282" w:right="207"/>
        <w:rPr>
          <w:b/>
          <w:sz w:val="20"/>
          <w:szCs w:val="20"/>
        </w:rPr>
      </w:pPr>
      <w:r w:rsidRPr="0038681A">
        <w:rPr>
          <w:w w:val="105"/>
          <w:sz w:val="20"/>
          <w:szCs w:val="20"/>
        </w:rPr>
        <w:t xml:space="preserve">Many sponsorships include the opportunity to display the company name and/or logo. The Applicant Organization agrees that by accepting sponsorship support from Avangrid Renewables, LLC, that any uses of the company name or logo must be pre-approved </w:t>
      </w:r>
      <w:r w:rsidRPr="00426C39">
        <w:rPr>
          <w:w w:val="105"/>
          <w:sz w:val="20"/>
          <w:szCs w:val="20"/>
        </w:rPr>
        <w:t xml:space="preserve">by </w:t>
      </w:r>
      <w:r w:rsidR="002B2B96" w:rsidRPr="00426C39">
        <w:rPr>
          <w:w w:val="105"/>
          <w:sz w:val="20"/>
          <w:szCs w:val="20"/>
        </w:rPr>
        <w:t>Avangrid</w:t>
      </w:r>
      <w:r w:rsidRPr="0038681A">
        <w:rPr>
          <w:w w:val="105"/>
          <w:sz w:val="20"/>
          <w:szCs w:val="20"/>
        </w:rPr>
        <w:t xml:space="preserve">, to comply with the company’s international brand requirements. All such inquiries must be directed to </w:t>
      </w:r>
      <w:hyperlink r:id="rId10" w:history="1">
        <w:r w:rsidR="002B2B96" w:rsidRPr="000462D5">
          <w:rPr>
            <w:rStyle w:val="Hyperlink"/>
            <w:w w:val="105"/>
            <w:sz w:val="20"/>
            <w:szCs w:val="20"/>
          </w:rPr>
          <w:t>community@avangrid.com</w:t>
        </w:r>
      </w:hyperlink>
      <w:r w:rsidR="002B2B96">
        <w:rPr>
          <w:w w:val="105"/>
          <w:sz w:val="20"/>
          <w:szCs w:val="20"/>
        </w:rPr>
        <w:t xml:space="preserve">.  </w:t>
      </w:r>
      <w:r w:rsidRPr="0038681A">
        <w:rPr>
          <w:b/>
          <w:w w:val="105"/>
          <w:sz w:val="20"/>
          <w:szCs w:val="20"/>
        </w:rPr>
        <w:t>Failure to comply can result in forfeiture of sponsorship monies.</w:t>
      </w:r>
    </w:p>
    <w:p w14:paraId="6DEFB11E" w14:textId="77777777" w:rsidR="002B2B96" w:rsidRDefault="002B2B96">
      <w:pPr>
        <w:ind w:left="282"/>
        <w:rPr>
          <w:sz w:val="12"/>
        </w:rPr>
      </w:pPr>
    </w:p>
    <w:p w14:paraId="107C62B1" w14:textId="32547A97" w:rsidR="001D69C5" w:rsidRDefault="002222D4">
      <w:pPr>
        <w:ind w:left="282"/>
        <w:rPr>
          <w:sz w:val="12"/>
        </w:rPr>
      </w:pPr>
      <w:r>
        <w:rPr>
          <w:sz w:val="12"/>
        </w:rPr>
        <w:t>Updated: 20</w:t>
      </w:r>
      <w:r w:rsidR="00D031A9">
        <w:rPr>
          <w:sz w:val="12"/>
        </w:rPr>
        <w:t>2</w:t>
      </w:r>
      <w:r w:rsidR="002B2B96">
        <w:rPr>
          <w:sz w:val="12"/>
        </w:rPr>
        <w:t>5Jan15</w:t>
      </w:r>
    </w:p>
    <w:sectPr w:rsidR="001D69C5">
      <w:pgSz w:w="12240" w:h="15840"/>
      <w:pgMar w:top="1360" w:right="1340" w:bottom="280" w:left="1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DDA14" w14:textId="77777777" w:rsidR="009C2C69" w:rsidRDefault="009C2C69" w:rsidP="009C2C69">
      <w:r>
        <w:separator/>
      </w:r>
    </w:p>
  </w:endnote>
  <w:endnote w:type="continuationSeparator" w:id="0">
    <w:p w14:paraId="1922FF05" w14:textId="77777777" w:rsidR="009C2C69" w:rsidRDefault="009C2C69" w:rsidP="009C2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16B97" w14:textId="77777777" w:rsidR="009C2C69" w:rsidRDefault="009C2C69" w:rsidP="009C2C69">
      <w:r>
        <w:separator/>
      </w:r>
    </w:p>
  </w:footnote>
  <w:footnote w:type="continuationSeparator" w:id="0">
    <w:p w14:paraId="1777B6F9" w14:textId="77777777" w:rsidR="009C2C69" w:rsidRDefault="009C2C69" w:rsidP="009C2C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83847"/>
    <w:multiLevelType w:val="hybridMultilevel"/>
    <w:tmpl w:val="6DD8736A"/>
    <w:lvl w:ilvl="0" w:tplc="4C664C70">
      <w:numFmt w:val="bullet"/>
      <w:lvlText w:val="•"/>
      <w:lvlJc w:val="left"/>
      <w:pPr>
        <w:ind w:left="630" w:hanging="182"/>
      </w:pPr>
      <w:rPr>
        <w:rFonts w:ascii="Arial" w:eastAsia="Arial" w:hAnsi="Arial" w:cs="Arial" w:hint="default"/>
        <w:w w:val="103"/>
        <w:sz w:val="19"/>
        <w:szCs w:val="19"/>
      </w:rPr>
    </w:lvl>
    <w:lvl w:ilvl="1" w:tplc="E8FCD36C">
      <w:numFmt w:val="bullet"/>
      <w:lvlText w:val="•"/>
      <w:lvlJc w:val="left"/>
      <w:pPr>
        <w:ind w:left="1550" w:hanging="182"/>
      </w:pPr>
      <w:rPr>
        <w:rFonts w:hint="default"/>
      </w:rPr>
    </w:lvl>
    <w:lvl w:ilvl="2" w:tplc="86CE06EC">
      <w:numFmt w:val="bullet"/>
      <w:lvlText w:val="•"/>
      <w:lvlJc w:val="left"/>
      <w:pPr>
        <w:ind w:left="2460" w:hanging="182"/>
      </w:pPr>
      <w:rPr>
        <w:rFonts w:hint="default"/>
      </w:rPr>
    </w:lvl>
    <w:lvl w:ilvl="3" w:tplc="056A1820">
      <w:numFmt w:val="bullet"/>
      <w:lvlText w:val="•"/>
      <w:lvlJc w:val="left"/>
      <w:pPr>
        <w:ind w:left="3370" w:hanging="182"/>
      </w:pPr>
      <w:rPr>
        <w:rFonts w:hint="default"/>
      </w:rPr>
    </w:lvl>
    <w:lvl w:ilvl="4" w:tplc="0324C624">
      <w:numFmt w:val="bullet"/>
      <w:lvlText w:val="•"/>
      <w:lvlJc w:val="left"/>
      <w:pPr>
        <w:ind w:left="4280" w:hanging="182"/>
      </w:pPr>
      <w:rPr>
        <w:rFonts w:hint="default"/>
      </w:rPr>
    </w:lvl>
    <w:lvl w:ilvl="5" w:tplc="DBB0A9B4">
      <w:numFmt w:val="bullet"/>
      <w:lvlText w:val="•"/>
      <w:lvlJc w:val="left"/>
      <w:pPr>
        <w:ind w:left="5190" w:hanging="182"/>
      </w:pPr>
      <w:rPr>
        <w:rFonts w:hint="default"/>
      </w:rPr>
    </w:lvl>
    <w:lvl w:ilvl="6" w:tplc="D8C20988">
      <w:numFmt w:val="bullet"/>
      <w:lvlText w:val="•"/>
      <w:lvlJc w:val="left"/>
      <w:pPr>
        <w:ind w:left="6100" w:hanging="182"/>
      </w:pPr>
      <w:rPr>
        <w:rFonts w:hint="default"/>
      </w:rPr>
    </w:lvl>
    <w:lvl w:ilvl="7" w:tplc="141A6A8E">
      <w:numFmt w:val="bullet"/>
      <w:lvlText w:val="•"/>
      <w:lvlJc w:val="left"/>
      <w:pPr>
        <w:ind w:left="7010" w:hanging="182"/>
      </w:pPr>
      <w:rPr>
        <w:rFonts w:hint="default"/>
      </w:rPr>
    </w:lvl>
    <w:lvl w:ilvl="8" w:tplc="5A669292">
      <w:numFmt w:val="bullet"/>
      <w:lvlText w:val="•"/>
      <w:lvlJc w:val="left"/>
      <w:pPr>
        <w:ind w:left="7920" w:hanging="182"/>
      </w:pPr>
      <w:rPr>
        <w:rFonts w:hint="default"/>
      </w:rPr>
    </w:lvl>
  </w:abstractNum>
  <w:abstractNum w:abstractNumId="1" w15:restartNumberingAfterBreak="0">
    <w:nsid w:val="39A10BCB"/>
    <w:multiLevelType w:val="multilevel"/>
    <w:tmpl w:val="D12062BC"/>
    <w:lvl w:ilvl="0">
      <w:start w:val="3"/>
      <w:numFmt w:val="decimal"/>
      <w:lvlText w:val="%1"/>
      <w:lvlJc w:val="left"/>
      <w:pPr>
        <w:ind w:left="672" w:hanging="390"/>
        <w:jc w:val="left"/>
      </w:pPr>
      <w:rPr>
        <w:rFonts w:hint="default"/>
      </w:rPr>
    </w:lvl>
    <w:lvl w:ilvl="1">
      <w:numFmt w:val="decimal"/>
      <w:lvlText w:val="%1.%2"/>
      <w:lvlJc w:val="left"/>
      <w:pPr>
        <w:ind w:left="672" w:hanging="390"/>
        <w:jc w:val="right"/>
      </w:pPr>
      <w:rPr>
        <w:rFonts w:ascii="Arial" w:eastAsia="Arial" w:hAnsi="Arial" w:cs="Arial" w:hint="default"/>
        <w:spacing w:val="0"/>
        <w:w w:val="103"/>
        <w:sz w:val="19"/>
        <w:szCs w:val="19"/>
      </w:rPr>
    </w:lvl>
    <w:lvl w:ilvl="2">
      <w:numFmt w:val="bullet"/>
      <w:lvlText w:val="•"/>
      <w:lvlJc w:val="left"/>
      <w:pPr>
        <w:ind w:left="2492" w:hanging="390"/>
      </w:pPr>
      <w:rPr>
        <w:rFonts w:hint="default"/>
      </w:rPr>
    </w:lvl>
    <w:lvl w:ilvl="3">
      <w:numFmt w:val="bullet"/>
      <w:lvlText w:val="•"/>
      <w:lvlJc w:val="left"/>
      <w:pPr>
        <w:ind w:left="3398" w:hanging="390"/>
      </w:pPr>
      <w:rPr>
        <w:rFonts w:hint="default"/>
      </w:rPr>
    </w:lvl>
    <w:lvl w:ilvl="4">
      <w:numFmt w:val="bullet"/>
      <w:lvlText w:val="•"/>
      <w:lvlJc w:val="left"/>
      <w:pPr>
        <w:ind w:left="4304" w:hanging="390"/>
      </w:pPr>
      <w:rPr>
        <w:rFonts w:hint="default"/>
      </w:rPr>
    </w:lvl>
    <w:lvl w:ilvl="5">
      <w:numFmt w:val="bullet"/>
      <w:lvlText w:val="•"/>
      <w:lvlJc w:val="left"/>
      <w:pPr>
        <w:ind w:left="5210" w:hanging="390"/>
      </w:pPr>
      <w:rPr>
        <w:rFonts w:hint="default"/>
      </w:rPr>
    </w:lvl>
    <w:lvl w:ilvl="6">
      <w:numFmt w:val="bullet"/>
      <w:lvlText w:val="•"/>
      <w:lvlJc w:val="left"/>
      <w:pPr>
        <w:ind w:left="6116" w:hanging="390"/>
      </w:pPr>
      <w:rPr>
        <w:rFonts w:hint="default"/>
      </w:rPr>
    </w:lvl>
    <w:lvl w:ilvl="7">
      <w:numFmt w:val="bullet"/>
      <w:lvlText w:val="•"/>
      <w:lvlJc w:val="left"/>
      <w:pPr>
        <w:ind w:left="7022" w:hanging="390"/>
      </w:pPr>
      <w:rPr>
        <w:rFonts w:hint="default"/>
      </w:rPr>
    </w:lvl>
    <w:lvl w:ilvl="8">
      <w:numFmt w:val="bullet"/>
      <w:lvlText w:val="•"/>
      <w:lvlJc w:val="left"/>
      <w:pPr>
        <w:ind w:left="7928" w:hanging="390"/>
      </w:pPr>
      <w:rPr>
        <w:rFonts w:hint="default"/>
      </w:rPr>
    </w:lvl>
  </w:abstractNum>
  <w:abstractNum w:abstractNumId="2" w15:restartNumberingAfterBreak="0">
    <w:nsid w:val="438754B3"/>
    <w:multiLevelType w:val="multilevel"/>
    <w:tmpl w:val="D85850DE"/>
    <w:lvl w:ilvl="0">
      <w:start w:val="1"/>
      <w:numFmt w:val="decimal"/>
      <w:lvlText w:val="%1"/>
      <w:lvlJc w:val="left"/>
      <w:pPr>
        <w:ind w:left="672" w:hanging="390"/>
        <w:jc w:val="left"/>
      </w:pPr>
      <w:rPr>
        <w:rFonts w:hint="default"/>
      </w:rPr>
    </w:lvl>
    <w:lvl w:ilvl="1">
      <w:numFmt w:val="decimal"/>
      <w:lvlText w:val="%1.%2"/>
      <w:lvlJc w:val="left"/>
      <w:pPr>
        <w:ind w:left="1560" w:hanging="390"/>
        <w:jc w:val="right"/>
      </w:pPr>
      <w:rPr>
        <w:rFonts w:ascii="Arial" w:eastAsia="Arial" w:hAnsi="Arial" w:cs="Arial" w:hint="default"/>
        <w:b/>
        <w:bCs/>
        <w:spacing w:val="0"/>
        <w:w w:val="103"/>
        <w:sz w:val="19"/>
        <w:szCs w:val="19"/>
      </w:rPr>
    </w:lvl>
    <w:lvl w:ilvl="2">
      <w:start w:val="1"/>
      <w:numFmt w:val="decimal"/>
      <w:lvlText w:val="%1.%2.%3"/>
      <w:lvlJc w:val="left"/>
      <w:pPr>
        <w:ind w:left="1722" w:hanging="556"/>
        <w:jc w:val="left"/>
      </w:pPr>
      <w:rPr>
        <w:rFonts w:ascii="Arial" w:eastAsia="Arial" w:hAnsi="Arial" w:cs="Arial" w:hint="default"/>
        <w:b/>
        <w:bCs/>
        <w:spacing w:val="0"/>
        <w:w w:val="103"/>
        <w:sz w:val="19"/>
        <w:szCs w:val="19"/>
      </w:rPr>
    </w:lvl>
    <w:lvl w:ilvl="3">
      <w:numFmt w:val="bullet"/>
      <w:lvlText w:val="•"/>
      <w:lvlJc w:val="left"/>
      <w:pPr>
        <w:ind w:left="3502" w:hanging="556"/>
      </w:pPr>
      <w:rPr>
        <w:rFonts w:hint="default"/>
      </w:rPr>
    </w:lvl>
    <w:lvl w:ilvl="4">
      <w:numFmt w:val="bullet"/>
      <w:lvlText w:val="•"/>
      <w:lvlJc w:val="left"/>
      <w:pPr>
        <w:ind w:left="4393" w:hanging="556"/>
      </w:pPr>
      <w:rPr>
        <w:rFonts w:hint="default"/>
      </w:rPr>
    </w:lvl>
    <w:lvl w:ilvl="5">
      <w:numFmt w:val="bullet"/>
      <w:lvlText w:val="•"/>
      <w:lvlJc w:val="left"/>
      <w:pPr>
        <w:ind w:left="5284" w:hanging="556"/>
      </w:pPr>
      <w:rPr>
        <w:rFonts w:hint="default"/>
      </w:rPr>
    </w:lvl>
    <w:lvl w:ilvl="6">
      <w:numFmt w:val="bullet"/>
      <w:lvlText w:val="•"/>
      <w:lvlJc w:val="left"/>
      <w:pPr>
        <w:ind w:left="6175" w:hanging="556"/>
      </w:pPr>
      <w:rPr>
        <w:rFonts w:hint="default"/>
      </w:rPr>
    </w:lvl>
    <w:lvl w:ilvl="7">
      <w:numFmt w:val="bullet"/>
      <w:lvlText w:val="•"/>
      <w:lvlJc w:val="left"/>
      <w:pPr>
        <w:ind w:left="7066" w:hanging="556"/>
      </w:pPr>
      <w:rPr>
        <w:rFonts w:hint="default"/>
      </w:rPr>
    </w:lvl>
    <w:lvl w:ilvl="8">
      <w:numFmt w:val="bullet"/>
      <w:lvlText w:val="•"/>
      <w:lvlJc w:val="left"/>
      <w:pPr>
        <w:ind w:left="7957" w:hanging="556"/>
      </w:pPr>
      <w:rPr>
        <w:rFonts w:hint="default"/>
      </w:rPr>
    </w:lvl>
  </w:abstractNum>
  <w:num w:numId="1" w16cid:durableId="884096706">
    <w:abstractNumId w:val="1"/>
  </w:num>
  <w:num w:numId="2" w16cid:durableId="1044521894">
    <w:abstractNumId w:val="2"/>
  </w:num>
  <w:num w:numId="3" w16cid:durableId="12923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readOnly" w:formatting="1" w:enforcement="1" w:cryptProviderType="rsaAES" w:cryptAlgorithmClass="hash" w:cryptAlgorithmType="typeAny" w:cryptAlgorithmSid="14" w:cryptSpinCount="100000" w:hash="hgUyMXyLp4he69A7SrDO2zHvW74oQVY6E8LWDrl9pPlko6kntWRVjp9A+Yk+Zqg0VUoA1ujOTWog0FUqu2PD4w==" w:salt="dG1e+PIRGjxF9udEmUtPVw=="/>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9C5"/>
    <w:rsid w:val="001D69C5"/>
    <w:rsid w:val="001F7440"/>
    <w:rsid w:val="002222D4"/>
    <w:rsid w:val="00264548"/>
    <w:rsid w:val="00286FB7"/>
    <w:rsid w:val="002B2B96"/>
    <w:rsid w:val="00365FAF"/>
    <w:rsid w:val="0038681A"/>
    <w:rsid w:val="00426C39"/>
    <w:rsid w:val="00585FE0"/>
    <w:rsid w:val="006B1E59"/>
    <w:rsid w:val="007A66C7"/>
    <w:rsid w:val="009112CB"/>
    <w:rsid w:val="009324BF"/>
    <w:rsid w:val="009C2C69"/>
    <w:rsid w:val="00BA3365"/>
    <w:rsid w:val="00D031A9"/>
    <w:rsid w:val="00D332C0"/>
    <w:rsid w:val="00E046AF"/>
    <w:rsid w:val="00EF5ED2"/>
    <w:rsid w:val="00F130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B632D5"/>
  <w15:docId w15:val="{A48CDC58-A76C-4F99-A71C-6A027523A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82"/>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spacing w:before="122"/>
      <w:ind w:left="1002"/>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031A9"/>
    <w:rPr>
      <w:color w:val="0000FF" w:themeColor="hyperlink"/>
      <w:u w:val="single"/>
    </w:rPr>
  </w:style>
  <w:style w:type="character" w:styleId="UnresolvedMention">
    <w:name w:val="Unresolved Mention"/>
    <w:basedOn w:val="DefaultParagraphFont"/>
    <w:uiPriority w:val="99"/>
    <w:semiHidden/>
    <w:unhideWhenUsed/>
    <w:rsid w:val="00D031A9"/>
    <w:rPr>
      <w:color w:val="605E5C"/>
      <w:shd w:val="clear" w:color="auto" w:fill="E1DFDD"/>
    </w:rPr>
  </w:style>
  <w:style w:type="paragraph" w:styleId="Header">
    <w:name w:val="header"/>
    <w:basedOn w:val="Normal"/>
    <w:link w:val="HeaderChar"/>
    <w:uiPriority w:val="99"/>
    <w:unhideWhenUsed/>
    <w:rsid w:val="009C2C69"/>
    <w:pPr>
      <w:tabs>
        <w:tab w:val="center" w:pos="4680"/>
        <w:tab w:val="right" w:pos="9360"/>
      </w:tabs>
    </w:pPr>
  </w:style>
  <w:style w:type="character" w:customStyle="1" w:styleId="HeaderChar">
    <w:name w:val="Header Char"/>
    <w:basedOn w:val="DefaultParagraphFont"/>
    <w:link w:val="Header"/>
    <w:uiPriority w:val="99"/>
    <w:rsid w:val="009C2C69"/>
    <w:rPr>
      <w:rFonts w:ascii="Arial" w:eastAsia="Arial" w:hAnsi="Arial" w:cs="Arial"/>
    </w:rPr>
  </w:style>
  <w:style w:type="paragraph" w:styleId="Footer">
    <w:name w:val="footer"/>
    <w:basedOn w:val="Normal"/>
    <w:link w:val="FooterChar"/>
    <w:uiPriority w:val="99"/>
    <w:unhideWhenUsed/>
    <w:rsid w:val="009C2C69"/>
    <w:pPr>
      <w:tabs>
        <w:tab w:val="center" w:pos="4680"/>
        <w:tab w:val="right" w:pos="9360"/>
      </w:tabs>
    </w:pPr>
  </w:style>
  <w:style w:type="character" w:customStyle="1" w:styleId="FooterChar">
    <w:name w:val="Footer Char"/>
    <w:basedOn w:val="DefaultParagraphFont"/>
    <w:link w:val="Footer"/>
    <w:uiPriority w:val="99"/>
    <w:rsid w:val="009C2C6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ommunity@avangrid.com" TargetMode="External"/><Relationship Id="rId4" Type="http://schemas.openxmlformats.org/officeDocument/2006/relationships/settings" Target="settings.xml"/><Relationship Id="rId9" Type="http://schemas.openxmlformats.org/officeDocument/2006/relationships/hyperlink" Target="mailto:community@avangri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8732C-5F48-45BA-97E7-9801225DB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801</Words>
  <Characters>4572</Characters>
  <Application>Microsoft Office Word</Application>
  <DocSecurity>8</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REED, VALORIA</dc:creator>
  <cp:lastModifiedBy>VAN DYKE, EVA</cp:lastModifiedBy>
  <cp:revision>2</cp:revision>
  <cp:lastPrinted>2025-01-29T18:56:00Z</cp:lastPrinted>
  <dcterms:created xsi:type="dcterms:W3CDTF">2025-01-29T18:59:00Z</dcterms:created>
  <dcterms:modified xsi:type="dcterms:W3CDTF">2025-01-29T18:59:00Z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19c027e-33b7-45fc-a572-8ffa5d09ec36_Enabled">
    <vt:lpwstr>true</vt:lpwstr>
  </property>
  <property fmtid="{D5CDD505-2E9C-101B-9397-08002B2CF9AE}" pid="3" name="MSIP_Label_019c027e-33b7-45fc-a572-8ffa5d09ec36_SetDate">
    <vt:lpwstr>2024-03-25T18:26:47Z</vt:lpwstr>
  </property>
  <property fmtid="{D5CDD505-2E9C-101B-9397-08002B2CF9AE}" pid="4" name="MSIP_Label_019c027e-33b7-45fc-a572-8ffa5d09ec36_Method">
    <vt:lpwstr>Standard</vt:lpwstr>
  </property>
  <property fmtid="{D5CDD505-2E9C-101B-9397-08002B2CF9AE}" pid="5" name="MSIP_Label_019c027e-33b7-45fc-a572-8ffa5d09ec36_Name">
    <vt:lpwstr>Internal Use</vt:lpwstr>
  </property>
  <property fmtid="{D5CDD505-2E9C-101B-9397-08002B2CF9AE}" pid="6" name="MSIP_Label_019c027e-33b7-45fc-a572-8ffa5d09ec36_SiteId">
    <vt:lpwstr>031a09bc-a2bf-44df-888e-4e09355b7a24</vt:lpwstr>
  </property>
  <property fmtid="{D5CDD505-2E9C-101B-9397-08002B2CF9AE}" pid="7" name="MSIP_Label_019c027e-33b7-45fc-a572-8ffa5d09ec36_ActionId">
    <vt:lpwstr>d6e6bd9a-6244-4469-b5cd-b7a16ca589e6</vt:lpwstr>
  </property>
  <property fmtid="{D5CDD505-2E9C-101B-9397-08002B2CF9AE}" pid="8" name="MSIP_Label_019c027e-33b7-45fc-a572-8ffa5d09ec36_ContentBits">
    <vt:lpwstr>2</vt:lpwstr>
  </property>
</Properties>
</file>